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DE" w:rsidRDefault="00092CE2" w:rsidP="00F84017">
      <w:pPr>
        <w:widowControl w:val="0"/>
        <w:kinsoku w:val="0"/>
        <w:overflowPunct w:val="0"/>
        <w:autoSpaceDE w:val="0"/>
        <w:autoSpaceDN w:val="0"/>
        <w:jc w:val="center"/>
      </w:pPr>
      <w:r>
        <w:rPr>
          <w:rFonts w:hint="eastAsia"/>
        </w:rPr>
        <w:t>低入札価格調査による判定基準</w:t>
      </w:r>
    </w:p>
    <w:p w:rsidR="00B339BE" w:rsidRDefault="00B339BE" w:rsidP="00810600">
      <w:pPr>
        <w:widowControl w:val="0"/>
        <w:kinsoku w:val="0"/>
        <w:overflowPunct w:val="0"/>
        <w:autoSpaceDE w:val="0"/>
        <w:autoSpaceDN w:val="0"/>
      </w:pPr>
      <w:r>
        <w:rPr>
          <w:rFonts w:hint="eastAsia"/>
        </w:rPr>
        <w:t>１　基本的考え方</w:t>
      </w:r>
    </w:p>
    <w:p w:rsidR="00B339BE" w:rsidRDefault="00B339BE" w:rsidP="00601F0A">
      <w:pPr>
        <w:widowControl w:val="0"/>
        <w:kinsoku w:val="0"/>
        <w:overflowPunct w:val="0"/>
        <w:autoSpaceDE w:val="0"/>
        <w:autoSpaceDN w:val="0"/>
        <w:ind w:leftChars="100" w:left="416" w:hangingChars="100" w:hanging="208"/>
      </w:pPr>
      <w:r>
        <w:t>(1)</w:t>
      </w:r>
      <w:r>
        <w:rPr>
          <w:rFonts w:hint="eastAsia"/>
        </w:rPr>
        <w:t xml:space="preserve"> </w:t>
      </w:r>
      <w:r>
        <w:t>地方自治法施行令第167条の10第</w:t>
      </w:r>
      <w:r>
        <w:rPr>
          <w:rFonts w:hint="eastAsia"/>
        </w:rPr>
        <w:t>１</w:t>
      </w:r>
      <w:r>
        <w:t>項に定める趣旨を踏まえ、調査の結果、次のいずれにも該当しないことを判断の基本とする。</w:t>
      </w:r>
    </w:p>
    <w:p w:rsidR="00B339BE" w:rsidRDefault="009108BF" w:rsidP="00601F0A">
      <w:pPr>
        <w:widowControl w:val="0"/>
        <w:kinsoku w:val="0"/>
        <w:overflowPunct w:val="0"/>
        <w:autoSpaceDE w:val="0"/>
        <w:autoSpaceDN w:val="0"/>
        <w:ind w:leftChars="200" w:left="624" w:hangingChars="100" w:hanging="208"/>
      </w:pPr>
      <w:r>
        <w:rPr>
          <w:rFonts w:hint="eastAsia"/>
        </w:rPr>
        <w:t xml:space="preserve">ア　</w:t>
      </w:r>
      <w:r w:rsidR="00B339BE">
        <w:t>当該入札者が契約の内容に適合した履行がなされないおそれがあると認められること。</w:t>
      </w:r>
    </w:p>
    <w:p w:rsidR="00B339BE" w:rsidRDefault="009108BF" w:rsidP="00601F0A">
      <w:pPr>
        <w:widowControl w:val="0"/>
        <w:kinsoku w:val="0"/>
        <w:overflowPunct w:val="0"/>
        <w:autoSpaceDE w:val="0"/>
        <w:autoSpaceDN w:val="0"/>
        <w:ind w:leftChars="200" w:left="624" w:hangingChars="100" w:hanging="208"/>
      </w:pPr>
      <w:r>
        <w:rPr>
          <w:rFonts w:hint="eastAsia"/>
        </w:rPr>
        <w:t xml:space="preserve">イ　</w:t>
      </w:r>
      <w:r w:rsidR="00B339BE">
        <w:t>当該入札者と契約を締結することが公正な取引の秩序を乱すおそれがあって著しく不適当であると認められること。</w:t>
      </w:r>
    </w:p>
    <w:p w:rsidR="00B339BE" w:rsidRDefault="00B339BE" w:rsidP="00601F0A">
      <w:pPr>
        <w:widowControl w:val="0"/>
        <w:kinsoku w:val="0"/>
        <w:overflowPunct w:val="0"/>
        <w:autoSpaceDE w:val="0"/>
        <w:autoSpaceDN w:val="0"/>
        <w:ind w:firstLineChars="100" w:firstLine="208"/>
      </w:pPr>
      <w:r>
        <w:t>(2)</w:t>
      </w:r>
      <w:r w:rsidR="009108BF">
        <w:rPr>
          <w:rFonts w:hint="eastAsia"/>
        </w:rPr>
        <w:t xml:space="preserve"> </w:t>
      </w:r>
      <w:r>
        <w:t>調査は、調査対象工事単体として</w:t>
      </w:r>
      <w:r w:rsidR="004C3B7E">
        <w:rPr>
          <w:rFonts w:hint="eastAsia"/>
        </w:rPr>
        <w:t>、</w:t>
      </w:r>
      <w:r>
        <w:t>入札額による履行の可否を判断するものとする。</w:t>
      </w:r>
    </w:p>
    <w:p w:rsidR="00B339BE" w:rsidRDefault="00B339BE" w:rsidP="00601F0A">
      <w:pPr>
        <w:widowControl w:val="0"/>
        <w:kinsoku w:val="0"/>
        <w:overflowPunct w:val="0"/>
        <w:autoSpaceDE w:val="0"/>
        <w:autoSpaceDN w:val="0"/>
        <w:ind w:leftChars="100" w:left="416" w:hangingChars="100" w:hanging="208"/>
      </w:pPr>
      <w:r>
        <w:t>(3)</w:t>
      </w:r>
      <w:r>
        <w:rPr>
          <w:rFonts w:hint="eastAsia"/>
        </w:rPr>
        <w:t xml:space="preserve"> </w:t>
      </w:r>
      <w:r>
        <w:t>「公正な取引の秩序を乱すおそれ」の判断にあっては、社会通念上正常な取引の関係がゆがめられることとなるような入札を排除する観点から、当該入札価格をもって、工事の施工に係る実行予算が成り立つか否かを基本に履行の可否を判断するものとする。</w:t>
      </w:r>
    </w:p>
    <w:p w:rsidR="00B339BE" w:rsidRDefault="00B339BE" w:rsidP="00810600">
      <w:pPr>
        <w:widowControl w:val="0"/>
        <w:kinsoku w:val="0"/>
        <w:overflowPunct w:val="0"/>
        <w:autoSpaceDE w:val="0"/>
        <w:autoSpaceDN w:val="0"/>
      </w:pPr>
      <w:r>
        <w:rPr>
          <w:rFonts w:hint="eastAsia"/>
        </w:rPr>
        <w:t>２　調査による失格基準</w:t>
      </w:r>
    </w:p>
    <w:tbl>
      <w:tblPr>
        <w:tblStyle w:val="a7"/>
        <w:tblW w:w="9442" w:type="dxa"/>
        <w:tblInd w:w="218" w:type="dxa"/>
        <w:tblLook w:val="04A0" w:firstRow="1" w:lastRow="0" w:firstColumn="1" w:lastColumn="0" w:noHBand="0" w:noVBand="1"/>
      </w:tblPr>
      <w:tblGrid>
        <w:gridCol w:w="1880"/>
        <w:gridCol w:w="7562"/>
      </w:tblGrid>
      <w:tr w:rsidR="00107D05" w:rsidTr="00677390">
        <w:tc>
          <w:tcPr>
            <w:tcW w:w="1880" w:type="dxa"/>
            <w:vAlign w:val="center"/>
          </w:tcPr>
          <w:p w:rsidR="00107D05" w:rsidRDefault="00107D05" w:rsidP="00810600">
            <w:pPr>
              <w:widowControl w:val="0"/>
              <w:kinsoku w:val="0"/>
              <w:overflowPunct w:val="0"/>
              <w:autoSpaceDE w:val="0"/>
              <w:autoSpaceDN w:val="0"/>
              <w:jc w:val="center"/>
            </w:pPr>
            <w:r>
              <w:rPr>
                <w:rFonts w:hint="eastAsia"/>
              </w:rPr>
              <w:t>項</w:t>
            </w:r>
            <w:r w:rsidR="00A12C0A">
              <w:rPr>
                <w:rFonts w:hint="eastAsia"/>
              </w:rPr>
              <w:t xml:space="preserve">　　</w:t>
            </w:r>
            <w:r>
              <w:rPr>
                <w:rFonts w:hint="eastAsia"/>
              </w:rPr>
              <w:t>目</w:t>
            </w:r>
          </w:p>
        </w:tc>
        <w:tc>
          <w:tcPr>
            <w:tcW w:w="7562" w:type="dxa"/>
            <w:vAlign w:val="center"/>
          </w:tcPr>
          <w:p w:rsidR="00107D05" w:rsidRDefault="00107D05" w:rsidP="00810600">
            <w:pPr>
              <w:widowControl w:val="0"/>
              <w:kinsoku w:val="0"/>
              <w:overflowPunct w:val="0"/>
              <w:autoSpaceDE w:val="0"/>
              <w:autoSpaceDN w:val="0"/>
              <w:jc w:val="center"/>
            </w:pPr>
            <w:r>
              <w:rPr>
                <w:rFonts w:hint="eastAsia"/>
              </w:rPr>
              <w:t>内</w:t>
            </w:r>
            <w:r w:rsidR="00A12C0A">
              <w:rPr>
                <w:rFonts w:hint="eastAsia"/>
              </w:rPr>
              <w:t xml:space="preserve">　　　　　　　</w:t>
            </w:r>
            <w:r>
              <w:rPr>
                <w:rFonts w:hint="eastAsia"/>
              </w:rPr>
              <w:t>容</w:t>
            </w:r>
          </w:p>
        </w:tc>
      </w:tr>
      <w:tr w:rsidR="00107D05" w:rsidTr="00677390">
        <w:tc>
          <w:tcPr>
            <w:tcW w:w="1880" w:type="dxa"/>
          </w:tcPr>
          <w:p w:rsidR="00107D05" w:rsidRDefault="00107D05" w:rsidP="00601F0A">
            <w:pPr>
              <w:widowControl w:val="0"/>
              <w:kinsoku w:val="0"/>
              <w:overflowPunct w:val="0"/>
              <w:autoSpaceDE w:val="0"/>
              <w:autoSpaceDN w:val="0"/>
              <w:ind w:left="208" w:hangingChars="100" w:hanging="208"/>
            </w:pPr>
            <w:r>
              <w:rPr>
                <w:rFonts w:hint="eastAsia"/>
              </w:rPr>
              <w:t xml:space="preserve">(1) </w:t>
            </w:r>
            <w:r>
              <w:t>調査に協力しない場合</w:t>
            </w:r>
          </w:p>
        </w:tc>
        <w:tc>
          <w:tcPr>
            <w:tcW w:w="7562" w:type="dxa"/>
          </w:tcPr>
          <w:p w:rsidR="00107D05" w:rsidRDefault="00107D05" w:rsidP="00601F0A">
            <w:pPr>
              <w:widowControl w:val="0"/>
              <w:kinsoku w:val="0"/>
              <w:overflowPunct w:val="0"/>
              <w:autoSpaceDE w:val="0"/>
              <w:autoSpaceDN w:val="0"/>
              <w:ind w:left="208" w:hangingChars="100" w:hanging="208"/>
            </w:pPr>
            <w:r>
              <w:t>ア　低入札価格調査に関する調査資料の提出を、</w:t>
            </w:r>
            <w:r w:rsidR="002F6773">
              <w:rPr>
                <w:rFonts w:hint="eastAsia"/>
              </w:rPr>
              <w:t>財政課長</w:t>
            </w:r>
            <w:r>
              <w:t>の定める期限までに行わない場合（</w:t>
            </w:r>
            <w:r w:rsidR="000A2728">
              <w:rPr>
                <w:rFonts w:hint="eastAsia"/>
              </w:rPr>
              <w:t>財政課長</w:t>
            </w:r>
            <w:r>
              <w:t>の承認を得たものを除く。）</w:t>
            </w:r>
          </w:p>
          <w:p w:rsidR="00107D05" w:rsidRDefault="00107D05" w:rsidP="008A602C">
            <w:pPr>
              <w:widowControl w:val="0"/>
              <w:kinsoku w:val="0"/>
              <w:overflowPunct w:val="0"/>
              <w:autoSpaceDE w:val="0"/>
              <w:autoSpaceDN w:val="0"/>
              <w:ind w:left="208" w:hangingChars="100" w:hanging="208"/>
            </w:pPr>
            <w:r>
              <w:rPr>
                <w:rFonts w:hint="eastAsia"/>
              </w:rPr>
              <w:t>イ　事情聴取に応じない場合</w:t>
            </w:r>
          </w:p>
        </w:tc>
      </w:tr>
      <w:tr w:rsidR="00677390" w:rsidTr="00677390">
        <w:tc>
          <w:tcPr>
            <w:tcW w:w="1880" w:type="dxa"/>
          </w:tcPr>
          <w:p w:rsidR="00677390" w:rsidRDefault="00677390" w:rsidP="00601F0A">
            <w:pPr>
              <w:widowControl w:val="0"/>
              <w:kinsoku w:val="0"/>
              <w:overflowPunct w:val="0"/>
              <w:autoSpaceDE w:val="0"/>
              <w:autoSpaceDN w:val="0"/>
              <w:ind w:left="208" w:hangingChars="100" w:hanging="208"/>
            </w:pPr>
            <w:r>
              <w:rPr>
                <w:rFonts w:hint="eastAsia"/>
              </w:rPr>
              <w:t xml:space="preserve">(2) </w:t>
            </w:r>
            <w:r w:rsidRPr="00677390">
              <w:rPr>
                <w:rFonts w:hint="eastAsia"/>
              </w:rPr>
              <w:t>見積数量が適正でない場合</w:t>
            </w:r>
          </w:p>
        </w:tc>
        <w:tc>
          <w:tcPr>
            <w:tcW w:w="7562" w:type="dxa"/>
          </w:tcPr>
          <w:p w:rsidR="00677390" w:rsidRDefault="00677390" w:rsidP="00601F0A">
            <w:pPr>
              <w:widowControl w:val="0"/>
              <w:kinsoku w:val="0"/>
              <w:overflowPunct w:val="0"/>
              <w:autoSpaceDE w:val="0"/>
              <w:autoSpaceDN w:val="0"/>
              <w:ind w:firstLineChars="100" w:firstLine="208"/>
            </w:pPr>
            <w:r w:rsidRPr="00677390">
              <w:rPr>
                <w:rFonts w:hint="eastAsia"/>
              </w:rPr>
              <w:t>発注者が示した設計図書及び仕様書等に計上した設計数量（参考数量）を満足していない場合</w:t>
            </w:r>
          </w:p>
        </w:tc>
      </w:tr>
      <w:tr w:rsidR="001232B5" w:rsidTr="00677390">
        <w:tc>
          <w:tcPr>
            <w:tcW w:w="1880" w:type="dxa"/>
          </w:tcPr>
          <w:p w:rsidR="001232B5" w:rsidRDefault="001232B5" w:rsidP="00601F0A">
            <w:pPr>
              <w:widowControl w:val="0"/>
              <w:kinsoku w:val="0"/>
              <w:overflowPunct w:val="0"/>
              <w:autoSpaceDE w:val="0"/>
              <w:autoSpaceDN w:val="0"/>
              <w:ind w:left="208" w:hangingChars="100" w:hanging="208"/>
            </w:pPr>
            <w:r>
              <w:t>(3)</w:t>
            </w:r>
            <w:r>
              <w:rPr>
                <w:rFonts w:hint="eastAsia"/>
              </w:rPr>
              <w:t xml:space="preserve"> </w:t>
            </w:r>
            <w:r>
              <w:t>品質・規格が適正でない場合</w:t>
            </w:r>
          </w:p>
        </w:tc>
        <w:tc>
          <w:tcPr>
            <w:tcW w:w="7562" w:type="dxa"/>
          </w:tcPr>
          <w:p w:rsidR="001232B5" w:rsidRPr="00677390" w:rsidRDefault="003F72F7" w:rsidP="00601F0A">
            <w:pPr>
              <w:widowControl w:val="0"/>
              <w:kinsoku w:val="0"/>
              <w:overflowPunct w:val="0"/>
              <w:autoSpaceDE w:val="0"/>
              <w:autoSpaceDN w:val="0"/>
              <w:ind w:firstLineChars="100" w:firstLine="208"/>
            </w:pPr>
            <w:r>
              <w:t>材料・製品について、発注者が示した設計仕様に適合した品質・規格を満足していない場合</w:t>
            </w:r>
          </w:p>
        </w:tc>
      </w:tr>
      <w:tr w:rsidR="0020462C" w:rsidTr="00677390">
        <w:tc>
          <w:tcPr>
            <w:tcW w:w="1880" w:type="dxa"/>
          </w:tcPr>
          <w:p w:rsidR="0020462C" w:rsidRDefault="0020462C" w:rsidP="00601F0A">
            <w:pPr>
              <w:widowControl w:val="0"/>
              <w:kinsoku w:val="0"/>
              <w:overflowPunct w:val="0"/>
              <w:autoSpaceDE w:val="0"/>
              <w:autoSpaceDN w:val="0"/>
              <w:ind w:left="208" w:hangingChars="100" w:hanging="208"/>
            </w:pPr>
            <w:r>
              <w:t>(4)</w:t>
            </w:r>
            <w:r>
              <w:rPr>
                <w:rFonts w:hint="eastAsia"/>
              </w:rPr>
              <w:t xml:space="preserve"> </w:t>
            </w:r>
            <w:r>
              <w:t>労務単価が適正でない場合</w:t>
            </w:r>
          </w:p>
        </w:tc>
        <w:tc>
          <w:tcPr>
            <w:tcW w:w="7562" w:type="dxa"/>
          </w:tcPr>
          <w:p w:rsidR="0020462C" w:rsidRDefault="0020462C" w:rsidP="00601F0A">
            <w:pPr>
              <w:widowControl w:val="0"/>
              <w:kinsoku w:val="0"/>
              <w:overflowPunct w:val="0"/>
              <w:autoSpaceDE w:val="0"/>
              <w:autoSpaceDN w:val="0"/>
              <w:ind w:firstLineChars="100" w:firstLine="208"/>
            </w:pPr>
            <w:r>
              <w:t>労務単価について、法定最低賃金を下回っている場合</w:t>
            </w:r>
          </w:p>
        </w:tc>
      </w:tr>
      <w:tr w:rsidR="00226459" w:rsidTr="00677390">
        <w:tc>
          <w:tcPr>
            <w:tcW w:w="1880" w:type="dxa"/>
          </w:tcPr>
          <w:p w:rsidR="00226459" w:rsidRDefault="00226459" w:rsidP="00601F0A">
            <w:pPr>
              <w:widowControl w:val="0"/>
              <w:kinsoku w:val="0"/>
              <w:overflowPunct w:val="0"/>
              <w:autoSpaceDE w:val="0"/>
              <w:autoSpaceDN w:val="0"/>
              <w:ind w:left="208" w:hangingChars="100" w:hanging="208"/>
            </w:pPr>
            <w:r>
              <w:t>(5)</w:t>
            </w:r>
            <w:r>
              <w:rPr>
                <w:rFonts w:hint="eastAsia"/>
              </w:rPr>
              <w:t xml:space="preserve"> </w:t>
            </w:r>
            <w:r>
              <w:t>工事費内訳書算出根拠が適正でない場合</w:t>
            </w:r>
          </w:p>
        </w:tc>
        <w:tc>
          <w:tcPr>
            <w:tcW w:w="7562" w:type="dxa"/>
          </w:tcPr>
          <w:p w:rsidR="00226459" w:rsidRDefault="00226459" w:rsidP="00810600">
            <w:pPr>
              <w:widowControl w:val="0"/>
              <w:kinsoku w:val="0"/>
              <w:overflowPunct w:val="0"/>
              <w:autoSpaceDE w:val="0"/>
              <w:autoSpaceDN w:val="0"/>
            </w:pPr>
            <w:r>
              <w:t>ア　算出根拠が明確でない場合</w:t>
            </w:r>
          </w:p>
          <w:p w:rsidR="00226459" w:rsidRDefault="00226459" w:rsidP="00601F0A">
            <w:pPr>
              <w:widowControl w:val="0"/>
              <w:kinsoku w:val="0"/>
              <w:overflowPunct w:val="0"/>
              <w:autoSpaceDE w:val="0"/>
              <w:autoSpaceDN w:val="0"/>
              <w:ind w:left="208" w:hangingChars="100" w:hanging="208"/>
            </w:pPr>
            <w:r>
              <w:rPr>
                <w:rFonts w:hint="eastAsia"/>
              </w:rPr>
              <w:t>イ　下請予定業者、資材購入予定業者、機材借上げ予定業者等からの聞き取りにより、工事費内訳書記載価格がいわゆる「指値」である等不当に低額に設定されたことが明白である場合</w:t>
            </w:r>
          </w:p>
          <w:p w:rsidR="00226459" w:rsidRDefault="00226459" w:rsidP="00601F0A">
            <w:pPr>
              <w:widowControl w:val="0"/>
              <w:kinsoku w:val="0"/>
              <w:overflowPunct w:val="0"/>
              <w:autoSpaceDE w:val="0"/>
              <w:autoSpaceDN w:val="0"/>
              <w:ind w:left="208" w:hangingChars="100" w:hanging="208"/>
            </w:pPr>
            <w:r>
              <w:rPr>
                <w:rFonts w:hint="eastAsia"/>
              </w:rPr>
              <w:t>ウ　下請、資材購入及び機材借上げについて、過去の取引実績より今回取引予定額が低額である場合において、その根拠が明確でない場合</w:t>
            </w:r>
          </w:p>
          <w:p w:rsidR="00226459" w:rsidRDefault="00226459" w:rsidP="00601F0A">
            <w:pPr>
              <w:widowControl w:val="0"/>
              <w:kinsoku w:val="0"/>
              <w:overflowPunct w:val="0"/>
              <w:autoSpaceDE w:val="0"/>
              <w:autoSpaceDN w:val="0"/>
              <w:ind w:left="208" w:hangingChars="100" w:hanging="208"/>
            </w:pPr>
            <w:r>
              <w:rPr>
                <w:rFonts w:hint="eastAsia"/>
              </w:rPr>
              <w:t>エ　不足経費について、会社経費等から補填するなど、工事単体として実行予算が成り立たない場合</w:t>
            </w:r>
          </w:p>
        </w:tc>
      </w:tr>
      <w:tr w:rsidR="00810600" w:rsidTr="00677390">
        <w:tc>
          <w:tcPr>
            <w:tcW w:w="1880" w:type="dxa"/>
          </w:tcPr>
          <w:p w:rsidR="00810600" w:rsidRDefault="00810600" w:rsidP="00601F0A">
            <w:pPr>
              <w:widowControl w:val="0"/>
              <w:kinsoku w:val="0"/>
              <w:overflowPunct w:val="0"/>
              <w:autoSpaceDE w:val="0"/>
              <w:autoSpaceDN w:val="0"/>
              <w:ind w:left="208" w:hangingChars="100" w:hanging="208"/>
            </w:pPr>
            <w:r>
              <w:t>(6)</w:t>
            </w:r>
            <w:r>
              <w:rPr>
                <w:rFonts w:hint="eastAsia"/>
              </w:rPr>
              <w:t xml:space="preserve"> </w:t>
            </w:r>
            <w:r>
              <w:t>建設副産物の処理が適正でない場合</w:t>
            </w:r>
          </w:p>
        </w:tc>
        <w:tc>
          <w:tcPr>
            <w:tcW w:w="7562" w:type="dxa"/>
          </w:tcPr>
          <w:p w:rsidR="00810600" w:rsidRDefault="00810600" w:rsidP="00810600">
            <w:pPr>
              <w:widowControl w:val="0"/>
              <w:kinsoku w:val="0"/>
              <w:overflowPunct w:val="0"/>
              <w:autoSpaceDE w:val="0"/>
              <w:autoSpaceDN w:val="0"/>
            </w:pPr>
            <w:r>
              <w:t>ア　建設副産物について、適正な処理費用が計上されていない場合</w:t>
            </w:r>
          </w:p>
          <w:p w:rsidR="00810600" w:rsidRDefault="00810600" w:rsidP="00601F0A">
            <w:pPr>
              <w:widowControl w:val="0"/>
              <w:kinsoku w:val="0"/>
              <w:overflowPunct w:val="0"/>
              <w:autoSpaceDE w:val="0"/>
              <w:autoSpaceDN w:val="0"/>
              <w:ind w:left="208" w:hangingChars="100" w:hanging="208"/>
            </w:pPr>
            <w:r>
              <w:rPr>
                <w:rFonts w:hint="eastAsia"/>
              </w:rPr>
              <w:t>イ　建設副産物の処理費用が計上されている場合にあっても、当該処理費用算出根拠が示されない場合又は過去の取引実績より今回取引予定額が低額である場合において、その根拠が明確でない</w:t>
            </w:r>
            <w:r w:rsidR="008D412B">
              <w:rPr>
                <w:rFonts w:hint="eastAsia"/>
              </w:rPr>
              <w:t>など</w:t>
            </w:r>
            <w:bookmarkStart w:id="0" w:name="_GoBack"/>
            <w:bookmarkEnd w:id="0"/>
            <w:r>
              <w:rPr>
                <w:rFonts w:hint="eastAsia"/>
              </w:rPr>
              <w:t>不当に低額な費用を計上している場合</w:t>
            </w:r>
          </w:p>
        </w:tc>
      </w:tr>
      <w:tr w:rsidR="00F51FDA" w:rsidTr="00056B1C">
        <w:tc>
          <w:tcPr>
            <w:tcW w:w="9442" w:type="dxa"/>
            <w:gridSpan w:val="2"/>
          </w:tcPr>
          <w:p w:rsidR="00F51FDA" w:rsidRDefault="00F51FDA" w:rsidP="00466CA8">
            <w:pPr>
              <w:widowControl w:val="0"/>
              <w:kinsoku w:val="0"/>
              <w:overflowPunct w:val="0"/>
              <w:autoSpaceDE w:val="0"/>
              <w:autoSpaceDN w:val="0"/>
            </w:pPr>
            <w:r>
              <w:t>(</w:t>
            </w:r>
            <w:r w:rsidR="00466CA8">
              <w:rPr>
                <w:rFonts w:hint="eastAsia"/>
              </w:rPr>
              <w:t>7</w:t>
            </w:r>
            <w:r>
              <w:t>)</w:t>
            </w:r>
            <w:r>
              <w:rPr>
                <w:rFonts w:hint="eastAsia"/>
              </w:rPr>
              <w:t xml:space="preserve"> </w:t>
            </w:r>
            <w:r>
              <w:t>上記のほか、適正な工事の履行が行われないおそれがあると認められる場合</w:t>
            </w:r>
          </w:p>
        </w:tc>
      </w:tr>
    </w:tbl>
    <w:p w:rsidR="00092CE2" w:rsidRDefault="00092CE2" w:rsidP="00601F0A">
      <w:pPr>
        <w:widowControl w:val="0"/>
        <w:kinsoku w:val="0"/>
        <w:overflowPunct w:val="0"/>
        <w:autoSpaceDE w:val="0"/>
        <w:autoSpaceDN w:val="0"/>
      </w:pPr>
    </w:p>
    <w:sectPr w:rsidR="00092CE2" w:rsidSect="00466CA8">
      <w:headerReference w:type="default" r:id="rId8"/>
      <w:pgSz w:w="11906" w:h="16838" w:code="9"/>
      <w:pgMar w:top="1701" w:right="1134" w:bottom="1418" w:left="1418" w:header="851" w:footer="992" w:gutter="0"/>
      <w:cols w:space="425"/>
      <w:docGrid w:type="linesAndChars" w:linePitch="342" w:charSpace="-2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D1" w:rsidRDefault="00D96DD1" w:rsidP="00092CE2">
      <w:r>
        <w:separator/>
      </w:r>
    </w:p>
  </w:endnote>
  <w:endnote w:type="continuationSeparator" w:id="0">
    <w:p w:rsidR="00D96DD1" w:rsidRDefault="00D96DD1" w:rsidP="00092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D1" w:rsidRDefault="00D96DD1" w:rsidP="00092CE2">
      <w:r>
        <w:separator/>
      </w:r>
    </w:p>
  </w:footnote>
  <w:footnote w:type="continuationSeparator" w:id="0">
    <w:p w:rsidR="00D96DD1" w:rsidRDefault="00D96DD1" w:rsidP="00092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CE2" w:rsidRDefault="00092CE2" w:rsidP="00092CE2">
    <w:pPr>
      <w:pStyle w:val="a3"/>
      <w:kinsoku w:val="0"/>
      <w:overflowPunct w:val="0"/>
      <w:autoSpaceDE w:val="0"/>
      <w:autoSpaceDN w:val="0"/>
    </w:pPr>
    <w:r>
      <w:rPr>
        <w:rFonts w:hint="eastAsia"/>
      </w:rPr>
      <w:t>別紙</w:t>
    </w:r>
    <w:r w:rsidR="00466CA8">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40"/>
  <w:drawingGridHorizontalSpacing w:val="104"/>
  <w:drawingGridVerticalSpacing w:val="171"/>
  <w:displayHorizontalDrawingGridEvery w:val="2"/>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CE2"/>
    <w:rsid w:val="00092CE2"/>
    <w:rsid w:val="000A2728"/>
    <w:rsid w:val="000B426D"/>
    <w:rsid w:val="00107D05"/>
    <w:rsid w:val="001232B5"/>
    <w:rsid w:val="0020462C"/>
    <w:rsid w:val="00226459"/>
    <w:rsid w:val="002F6773"/>
    <w:rsid w:val="003F00E3"/>
    <w:rsid w:val="003F72F7"/>
    <w:rsid w:val="00414794"/>
    <w:rsid w:val="00466CA8"/>
    <w:rsid w:val="004C3B7E"/>
    <w:rsid w:val="00503836"/>
    <w:rsid w:val="00540E15"/>
    <w:rsid w:val="00601F0A"/>
    <w:rsid w:val="00677390"/>
    <w:rsid w:val="00810600"/>
    <w:rsid w:val="008804C5"/>
    <w:rsid w:val="008A602C"/>
    <w:rsid w:val="008D412B"/>
    <w:rsid w:val="009108BF"/>
    <w:rsid w:val="009529DE"/>
    <w:rsid w:val="00A12C0A"/>
    <w:rsid w:val="00A37BD2"/>
    <w:rsid w:val="00B339BE"/>
    <w:rsid w:val="00D67EE7"/>
    <w:rsid w:val="00D96DD1"/>
    <w:rsid w:val="00F51FDA"/>
    <w:rsid w:val="00F84017"/>
    <w:rsid w:val="00FB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CE2"/>
    <w:pPr>
      <w:tabs>
        <w:tab w:val="center" w:pos="4252"/>
        <w:tab w:val="right" w:pos="8504"/>
      </w:tabs>
      <w:snapToGrid w:val="0"/>
    </w:pPr>
  </w:style>
  <w:style w:type="character" w:customStyle="1" w:styleId="a4">
    <w:name w:val="ヘッダー (文字)"/>
    <w:basedOn w:val="a0"/>
    <w:link w:val="a3"/>
    <w:uiPriority w:val="99"/>
    <w:rsid w:val="00092CE2"/>
  </w:style>
  <w:style w:type="paragraph" w:styleId="a5">
    <w:name w:val="footer"/>
    <w:basedOn w:val="a"/>
    <w:link w:val="a6"/>
    <w:uiPriority w:val="99"/>
    <w:unhideWhenUsed/>
    <w:rsid w:val="00092CE2"/>
    <w:pPr>
      <w:tabs>
        <w:tab w:val="center" w:pos="4252"/>
        <w:tab w:val="right" w:pos="8504"/>
      </w:tabs>
      <w:snapToGrid w:val="0"/>
    </w:pPr>
  </w:style>
  <w:style w:type="character" w:customStyle="1" w:styleId="a6">
    <w:name w:val="フッター (文字)"/>
    <w:basedOn w:val="a0"/>
    <w:link w:val="a5"/>
    <w:uiPriority w:val="99"/>
    <w:rsid w:val="00092CE2"/>
  </w:style>
  <w:style w:type="table" w:styleId="a7">
    <w:name w:val="Table Grid"/>
    <w:basedOn w:val="a1"/>
    <w:uiPriority w:val="59"/>
    <w:rsid w:val="00107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CE2"/>
    <w:pPr>
      <w:tabs>
        <w:tab w:val="center" w:pos="4252"/>
        <w:tab w:val="right" w:pos="8504"/>
      </w:tabs>
      <w:snapToGrid w:val="0"/>
    </w:pPr>
  </w:style>
  <w:style w:type="character" w:customStyle="1" w:styleId="a4">
    <w:name w:val="ヘッダー (文字)"/>
    <w:basedOn w:val="a0"/>
    <w:link w:val="a3"/>
    <w:uiPriority w:val="99"/>
    <w:rsid w:val="00092CE2"/>
  </w:style>
  <w:style w:type="paragraph" w:styleId="a5">
    <w:name w:val="footer"/>
    <w:basedOn w:val="a"/>
    <w:link w:val="a6"/>
    <w:uiPriority w:val="99"/>
    <w:unhideWhenUsed/>
    <w:rsid w:val="00092CE2"/>
    <w:pPr>
      <w:tabs>
        <w:tab w:val="center" w:pos="4252"/>
        <w:tab w:val="right" w:pos="8504"/>
      </w:tabs>
      <w:snapToGrid w:val="0"/>
    </w:pPr>
  </w:style>
  <w:style w:type="character" w:customStyle="1" w:styleId="a6">
    <w:name w:val="フッター (文字)"/>
    <w:basedOn w:val="a0"/>
    <w:link w:val="a5"/>
    <w:uiPriority w:val="99"/>
    <w:rsid w:val="00092CE2"/>
  </w:style>
  <w:style w:type="table" w:styleId="a7">
    <w:name w:val="Table Grid"/>
    <w:basedOn w:val="a1"/>
    <w:uiPriority w:val="59"/>
    <w:rsid w:val="00107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6182-2348-48EE-BBC9-964F8B75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wordﾃﾝﾌﾟﾚｰﾄ</Template>
  <TotalTime>19</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ous10643</cp:lastModifiedBy>
  <cp:revision>28</cp:revision>
  <cp:lastPrinted>2016-04-12T01:34:00Z</cp:lastPrinted>
  <dcterms:created xsi:type="dcterms:W3CDTF">2016-04-11T07:59:00Z</dcterms:created>
  <dcterms:modified xsi:type="dcterms:W3CDTF">2016-05-06T05:56:00Z</dcterms:modified>
</cp:coreProperties>
</file>